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34" w:rsidRPr="00C87093" w:rsidRDefault="00A04434" w:rsidP="00A04434">
      <w:pPr>
        <w:pStyle w:val="NoSpacing"/>
        <w:jc w:val="center"/>
        <w:rPr>
          <w:b/>
          <w:sz w:val="28"/>
        </w:rPr>
      </w:pPr>
      <w:r w:rsidRPr="00C87093">
        <w:rPr>
          <w:b/>
          <w:sz w:val="28"/>
        </w:rPr>
        <w:t>Personal Finance</w:t>
      </w:r>
    </w:p>
    <w:p w:rsidR="00A04434" w:rsidRPr="00C87093" w:rsidRDefault="00A04434" w:rsidP="00A04434">
      <w:pPr>
        <w:pStyle w:val="NoSpacing"/>
        <w:jc w:val="center"/>
        <w:rPr>
          <w:b/>
          <w:sz w:val="20"/>
        </w:rPr>
      </w:pPr>
      <w:r w:rsidRPr="00C87093">
        <w:rPr>
          <w:b/>
          <w:sz w:val="28"/>
        </w:rPr>
        <w:t>Unit EU’s &amp; EQ’s</w:t>
      </w:r>
      <w:r w:rsidR="004B472F" w:rsidRPr="00C87093">
        <w:rPr>
          <w:b/>
          <w:sz w:val="28"/>
        </w:rPr>
        <w:t xml:space="preserve"> </w:t>
      </w:r>
    </w:p>
    <w:p w:rsidR="004B472F" w:rsidRPr="00C87093" w:rsidRDefault="00A04434" w:rsidP="00A04434">
      <w:pPr>
        <w:pStyle w:val="NoSpacing"/>
        <w:jc w:val="center"/>
        <w:rPr>
          <w:b/>
          <w:sz w:val="28"/>
        </w:rPr>
      </w:pPr>
      <w:r w:rsidRPr="00C87093">
        <w:rPr>
          <w:b/>
          <w:sz w:val="28"/>
        </w:rPr>
        <w:t>Budgeting</w:t>
      </w:r>
      <w:r w:rsidR="004B472F" w:rsidRPr="00C87093">
        <w:rPr>
          <w:b/>
          <w:sz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65"/>
        <w:tblW w:w="6165" w:type="dxa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94"/>
        <w:gridCol w:w="3871"/>
      </w:tblGrid>
      <w:tr w:rsidR="00B47672" w:rsidRPr="002C50CF" w:rsidTr="00B47672">
        <w:trPr>
          <w:trHeight w:val="244"/>
        </w:trPr>
        <w:tc>
          <w:tcPr>
            <w:tcW w:w="2294" w:type="dxa"/>
            <w:shd w:val="clear" w:color="auto" w:fill="808080" w:themeFill="background1" w:themeFillShade="80"/>
            <w:vAlign w:val="center"/>
          </w:tcPr>
          <w:p w:rsidR="00B47672" w:rsidRPr="002C50CF" w:rsidRDefault="00B47672" w:rsidP="00B47672">
            <w:pPr>
              <w:pStyle w:val="NoSpacing"/>
              <w:jc w:val="center"/>
              <w:rPr>
                <w:sz w:val="22"/>
              </w:rPr>
            </w:pPr>
            <w:r w:rsidRPr="002C50CF">
              <w:rPr>
                <w:sz w:val="22"/>
              </w:rPr>
              <w:t>Unit</w:t>
            </w:r>
          </w:p>
        </w:tc>
        <w:tc>
          <w:tcPr>
            <w:tcW w:w="3871" w:type="dxa"/>
            <w:shd w:val="clear" w:color="auto" w:fill="808080" w:themeFill="background1" w:themeFillShade="80"/>
            <w:vAlign w:val="center"/>
          </w:tcPr>
          <w:p w:rsidR="00B47672" w:rsidRPr="002C50CF" w:rsidRDefault="00B47672" w:rsidP="00B47672">
            <w:pPr>
              <w:pStyle w:val="NoSpacing"/>
              <w:jc w:val="center"/>
              <w:rPr>
                <w:sz w:val="22"/>
              </w:rPr>
            </w:pPr>
            <w:r w:rsidRPr="002C50CF">
              <w:rPr>
                <w:sz w:val="22"/>
              </w:rPr>
              <w:t>Chapters</w:t>
            </w:r>
          </w:p>
        </w:tc>
      </w:tr>
      <w:tr w:rsidR="00B47672" w:rsidRPr="002C50CF" w:rsidTr="00B47672">
        <w:trPr>
          <w:trHeight w:val="517"/>
        </w:trPr>
        <w:tc>
          <w:tcPr>
            <w:tcW w:w="2294" w:type="dxa"/>
            <w:vAlign w:val="center"/>
          </w:tcPr>
          <w:p w:rsidR="00B47672" w:rsidRPr="002C50CF" w:rsidRDefault="00B47672" w:rsidP="00B47672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Budgeting</w:t>
            </w:r>
          </w:p>
        </w:tc>
        <w:tc>
          <w:tcPr>
            <w:tcW w:w="3871" w:type="dxa"/>
            <w:vAlign w:val="center"/>
          </w:tcPr>
          <w:p w:rsidR="00B47672" w:rsidRPr="002C50CF" w:rsidRDefault="00B47672" w:rsidP="00B47672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3</w:t>
            </w:r>
            <w:r w:rsidRPr="002C50CF">
              <w:rPr>
                <w:sz w:val="16"/>
              </w:rPr>
              <w:t>—</w:t>
            </w:r>
            <w:r>
              <w:rPr>
                <w:sz w:val="16"/>
              </w:rPr>
              <w:t>Money Management Strategy</w:t>
            </w:r>
          </w:p>
          <w:p w:rsidR="00B47672" w:rsidRDefault="00B47672" w:rsidP="00B47672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4.1</w:t>
            </w:r>
            <w:r w:rsidRPr="002C50CF">
              <w:rPr>
                <w:sz w:val="16"/>
              </w:rPr>
              <w:t>—</w:t>
            </w:r>
            <w:r>
              <w:rPr>
                <w:sz w:val="16"/>
              </w:rPr>
              <w:t>Consumer Purchasing and Protection</w:t>
            </w:r>
          </w:p>
          <w:p w:rsidR="00B47672" w:rsidRDefault="00B47672" w:rsidP="00B47672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21.1—Managing Payroll</w:t>
            </w:r>
          </w:p>
          <w:p w:rsidR="00B47672" w:rsidRPr="002C50CF" w:rsidRDefault="00B47672" w:rsidP="00B47672">
            <w:pPr>
              <w:pStyle w:val="NoSpacing"/>
              <w:rPr>
                <w:sz w:val="16"/>
              </w:rPr>
            </w:pPr>
            <w:r>
              <w:rPr>
                <w:sz w:val="16"/>
              </w:rPr>
              <w:t>Information Sheet</w:t>
            </w:r>
          </w:p>
        </w:tc>
      </w:tr>
      <w:tr w:rsidR="00B47672" w:rsidRPr="002C50CF" w:rsidTr="00B47672">
        <w:trPr>
          <w:trHeight w:val="92"/>
        </w:trPr>
        <w:tc>
          <w:tcPr>
            <w:tcW w:w="2294" w:type="dxa"/>
            <w:shd w:val="clear" w:color="auto" w:fill="808080" w:themeFill="background1" w:themeFillShade="80"/>
            <w:vAlign w:val="center"/>
          </w:tcPr>
          <w:p w:rsidR="00B47672" w:rsidRPr="002C50CF" w:rsidRDefault="00B47672" w:rsidP="00B47672">
            <w:pPr>
              <w:pStyle w:val="NoSpacing"/>
              <w:rPr>
                <w:sz w:val="16"/>
              </w:rPr>
            </w:pPr>
          </w:p>
        </w:tc>
        <w:tc>
          <w:tcPr>
            <w:tcW w:w="3871" w:type="dxa"/>
            <w:shd w:val="clear" w:color="auto" w:fill="808080" w:themeFill="background1" w:themeFillShade="80"/>
            <w:vAlign w:val="center"/>
          </w:tcPr>
          <w:p w:rsidR="00B47672" w:rsidRPr="002C50CF" w:rsidRDefault="00B47672" w:rsidP="00B47672">
            <w:pPr>
              <w:pStyle w:val="NoSpacing"/>
              <w:rPr>
                <w:sz w:val="16"/>
              </w:rPr>
            </w:pPr>
          </w:p>
        </w:tc>
      </w:tr>
    </w:tbl>
    <w:p w:rsidR="00B47672" w:rsidRDefault="00B47672" w:rsidP="00A04434">
      <w:pPr>
        <w:pStyle w:val="NoSpacing"/>
        <w:jc w:val="center"/>
        <w:rPr>
          <w:b/>
          <w:sz w:val="20"/>
        </w:rPr>
      </w:pPr>
    </w:p>
    <w:p w:rsidR="00B47672" w:rsidRDefault="00B47672" w:rsidP="00A04434">
      <w:pPr>
        <w:pStyle w:val="NoSpacing"/>
        <w:jc w:val="center"/>
        <w:rPr>
          <w:b/>
          <w:sz w:val="20"/>
        </w:rPr>
      </w:pPr>
    </w:p>
    <w:p w:rsidR="00B47672" w:rsidRDefault="00B47672" w:rsidP="00A04434">
      <w:pPr>
        <w:pStyle w:val="NoSpacing"/>
        <w:jc w:val="center"/>
        <w:rPr>
          <w:b/>
          <w:sz w:val="20"/>
        </w:rPr>
      </w:pPr>
    </w:p>
    <w:p w:rsidR="00B47672" w:rsidRDefault="00B47672" w:rsidP="00A04434">
      <w:pPr>
        <w:pStyle w:val="NoSpacing"/>
        <w:jc w:val="center"/>
        <w:rPr>
          <w:b/>
          <w:sz w:val="20"/>
        </w:rPr>
      </w:pPr>
    </w:p>
    <w:p w:rsidR="00B47672" w:rsidRDefault="00B47672" w:rsidP="00A04434">
      <w:pPr>
        <w:pStyle w:val="NoSpacing"/>
        <w:jc w:val="center"/>
        <w:rPr>
          <w:b/>
          <w:sz w:val="20"/>
        </w:rPr>
      </w:pPr>
    </w:p>
    <w:p w:rsidR="00B47672" w:rsidRDefault="00B47672" w:rsidP="00A04434">
      <w:pPr>
        <w:pStyle w:val="NoSpacing"/>
        <w:jc w:val="center"/>
        <w:rPr>
          <w:b/>
          <w:sz w:val="20"/>
        </w:rPr>
      </w:pPr>
    </w:p>
    <w:p w:rsidR="00B47672" w:rsidRDefault="00B47672" w:rsidP="00C87093">
      <w:pPr>
        <w:pStyle w:val="NoSpacing"/>
        <w:rPr>
          <w:rFonts w:asciiTheme="minorHAnsi" w:hAnsiTheme="minorHAnsi"/>
          <w:b/>
          <w:sz w:val="20"/>
          <w:szCs w:val="20"/>
        </w:rPr>
      </w:pPr>
    </w:p>
    <w:p w:rsidR="00B47672" w:rsidRDefault="00B47672" w:rsidP="00C87093">
      <w:pPr>
        <w:pStyle w:val="NoSpacing"/>
        <w:rPr>
          <w:rFonts w:asciiTheme="minorHAnsi" w:hAnsiTheme="minorHAnsi"/>
          <w:b/>
          <w:sz w:val="20"/>
          <w:szCs w:val="20"/>
        </w:rPr>
      </w:pPr>
    </w:p>
    <w:p w:rsidR="00A04434" w:rsidRPr="00C87093" w:rsidRDefault="00A04434" w:rsidP="00C87093">
      <w:pPr>
        <w:pStyle w:val="NoSpacing"/>
        <w:rPr>
          <w:rFonts w:asciiTheme="minorHAnsi" w:hAnsiTheme="minorHAnsi"/>
          <w:sz w:val="20"/>
          <w:szCs w:val="20"/>
        </w:rPr>
      </w:pPr>
      <w:r w:rsidRPr="00C87093">
        <w:rPr>
          <w:rFonts w:asciiTheme="minorHAnsi" w:hAnsiTheme="minorHAnsi"/>
          <w:b/>
          <w:sz w:val="20"/>
          <w:szCs w:val="20"/>
        </w:rPr>
        <w:t xml:space="preserve">Enduring Understanding </w:t>
      </w:r>
      <w:r w:rsidRPr="00C87093">
        <w:rPr>
          <w:rFonts w:asciiTheme="minorHAnsi" w:hAnsiTheme="minorHAnsi"/>
          <w:sz w:val="20"/>
          <w:szCs w:val="20"/>
        </w:rPr>
        <w:t>(What you should learn and know beyond the classroom walls. “The Big Idea”)</w:t>
      </w:r>
    </w:p>
    <w:p w:rsidR="00A04434" w:rsidRPr="00C87093" w:rsidRDefault="00B21043" w:rsidP="00C87093">
      <w:pPr>
        <w:pStyle w:val="ListParagraph"/>
        <w:numPr>
          <w:ilvl w:val="0"/>
          <w:numId w:val="1"/>
        </w:numPr>
        <w:spacing w:after="0"/>
        <w:rPr>
          <w:rFonts w:asciiTheme="minorHAnsi" w:eastAsia="Times New Roman" w:hAnsiTheme="minorHAnsi"/>
          <w:color w:val="000000"/>
          <w:sz w:val="20"/>
          <w:szCs w:val="20"/>
        </w:rPr>
      </w:pPr>
      <w:r w:rsidRPr="00C87093">
        <w:rPr>
          <w:rFonts w:asciiTheme="minorHAnsi" w:eastAsia="Times New Roman" w:hAnsiTheme="minorHAnsi"/>
          <w:color w:val="000000"/>
          <w:sz w:val="20"/>
          <w:szCs w:val="20"/>
        </w:rPr>
        <w:t>Budgeting allows consumers to live within their income and meet their personal financial goals.</w:t>
      </w:r>
    </w:p>
    <w:p w:rsidR="00A04434" w:rsidRDefault="00B21043" w:rsidP="00C87093">
      <w:pPr>
        <w:pStyle w:val="ListParagraph"/>
        <w:numPr>
          <w:ilvl w:val="0"/>
          <w:numId w:val="1"/>
        </w:numPr>
        <w:spacing w:after="0"/>
        <w:rPr>
          <w:rFonts w:asciiTheme="minorHAnsi" w:eastAsia="Times New Roman" w:hAnsiTheme="minorHAnsi"/>
          <w:color w:val="000000"/>
          <w:sz w:val="20"/>
          <w:szCs w:val="20"/>
        </w:rPr>
      </w:pPr>
      <w:r w:rsidRPr="00C87093">
        <w:rPr>
          <w:rFonts w:asciiTheme="minorHAnsi" w:eastAsia="Times New Roman" w:hAnsiTheme="minorHAnsi"/>
          <w:color w:val="000000"/>
          <w:sz w:val="20"/>
          <w:szCs w:val="20"/>
        </w:rPr>
        <w:t>Budgeting can prevent debt and overspending.</w:t>
      </w:r>
    </w:p>
    <w:p w:rsidR="00C87093" w:rsidRPr="00C87093" w:rsidRDefault="00C87093" w:rsidP="00C87093">
      <w:pPr>
        <w:pStyle w:val="ListParagraph"/>
        <w:spacing w:after="0"/>
        <w:ind w:left="870"/>
        <w:rPr>
          <w:rFonts w:asciiTheme="minorHAnsi" w:eastAsia="Times New Roman" w:hAnsiTheme="minorHAnsi"/>
          <w:color w:val="000000"/>
          <w:sz w:val="20"/>
          <w:szCs w:val="20"/>
        </w:rPr>
      </w:pPr>
    </w:p>
    <w:p w:rsidR="00A04434" w:rsidRPr="00C87093" w:rsidRDefault="00A04434" w:rsidP="00C87093">
      <w:pPr>
        <w:pStyle w:val="NoSpacing"/>
        <w:rPr>
          <w:rFonts w:asciiTheme="minorHAnsi" w:hAnsiTheme="minorHAnsi"/>
          <w:sz w:val="20"/>
          <w:szCs w:val="20"/>
        </w:rPr>
      </w:pPr>
      <w:r w:rsidRPr="00C87093">
        <w:rPr>
          <w:rFonts w:asciiTheme="minorHAnsi" w:hAnsiTheme="minorHAnsi"/>
          <w:b/>
          <w:sz w:val="20"/>
          <w:szCs w:val="20"/>
        </w:rPr>
        <w:t xml:space="preserve">Essential Questions </w:t>
      </w:r>
      <w:r w:rsidRPr="00C87093">
        <w:rPr>
          <w:rFonts w:asciiTheme="minorHAnsi" w:hAnsiTheme="minorHAnsi"/>
          <w:sz w:val="20"/>
          <w:szCs w:val="20"/>
        </w:rPr>
        <w:t>(Multiple Reasons)</w:t>
      </w:r>
    </w:p>
    <w:p w:rsidR="000F50C1" w:rsidRDefault="00FE157A" w:rsidP="00C8709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C87093">
        <w:rPr>
          <w:rFonts w:asciiTheme="minorHAnsi" w:hAnsiTheme="minorHAnsi" w:cs="Arial"/>
          <w:color w:val="000000"/>
          <w:sz w:val="20"/>
          <w:szCs w:val="20"/>
        </w:rPr>
        <w:t>What is the purpose of a budget</w:t>
      </w:r>
      <w:r w:rsidR="000F50C1" w:rsidRPr="00C87093">
        <w:rPr>
          <w:rFonts w:asciiTheme="minorHAnsi" w:hAnsiTheme="minorHAnsi" w:cs="Arial"/>
          <w:color w:val="000000"/>
          <w:sz w:val="20"/>
          <w:szCs w:val="20"/>
        </w:rPr>
        <w:t>?</w:t>
      </w:r>
    </w:p>
    <w:p w:rsidR="00C87093" w:rsidRPr="00C87093" w:rsidRDefault="00C87093" w:rsidP="00C87093">
      <w:pPr>
        <w:pStyle w:val="NormalWeb"/>
        <w:spacing w:before="0" w:beforeAutospacing="0" w:after="0" w:afterAutospacing="0"/>
        <w:ind w:left="870"/>
        <w:rPr>
          <w:rFonts w:asciiTheme="minorHAnsi" w:hAnsiTheme="minorHAnsi" w:cs="Arial"/>
          <w:color w:val="000000"/>
          <w:sz w:val="20"/>
          <w:szCs w:val="20"/>
        </w:rPr>
      </w:pPr>
    </w:p>
    <w:p w:rsidR="00A04434" w:rsidRDefault="00A04434" w:rsidP="00C87093">
      <w:pPr>
        <w:spacing w:after="0"/>
        <w:rPr>
          <w:rFonts w:asciiTheme="minorHAnsi" w:hAnsiTheme="minorHAnsi"/>
          <w:sz w:val="20"/>
          <w:szCs w:val="20"/>
        </w:rPr>
      </w:pPr>
      <w:r w:rsidRPr="00C87093">
        <w:rPr>
          <w:rFonts w:asciiTheme="minorHAnsi" w:hAnsiTheme="minorHAnsi"/>
          <w:b/>
          <w:sz w:val="20"/>
          <w:szCs w:val="20"/>
        </w:rPr>
        <w:t xml:space="preserve">Essential Vocabulary </w:t>
      </w:r>
      <w:r w:rsidRPr="00C87093">
        <w:rPr>
          <w:rFonts w:asciiTheme="minorHAnsi" w:hAnsiTheme="minorHAnsi"/>
          <w:sz w:val="20"/>
          <w:szCs w:val="20"/>
        </w:rPr>
        <w:t>(indicates chapter) Please define the following:</w:t>
      </w:r>
    </w:p>
    <w:p w:rsidR="00C87093" w:rsidRPr="00C87093" w:rsidRDefault="00C87093" w:rsidP="00C87093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02"/>
        <w:gridCol w:w="5393"/>
      </w:tblGrid>
      <w:tr w:rsidR="00FE157A" w:rsidTr="00B47672">
        <w:trPr>
          <w:trHeight w:val="612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Budget (3)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588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Assets (3)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612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shd w:val="clear" w:color="auto" w:fill="FFFFFF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Liabilities (3)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1916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Expenses (3)</w:t>
            </w:r>
          </w:p>
          <w:p w:rsidR="00FE157A" w:rsidRDefault="00FE157A" w:rsidP="00FE157A">
            <w:pPr>
              <w:shd w:val="clear" w:color="auto" w:fill="FFFFFF"/>
              <w:ind w:left="7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Fixed Expenses (3)</w:t>
            </w:r>
          </w:p>
          <w:p w:rsidR="00C87093" w:rsidRPr="00FE157A" w:rsidRDefault="00C87093" w:rsidP="00FE157A">
            <w:pPr>
              <w:shd w:val="clear" w:color="auto" w:fill="FFFFFF"/>
              <w:ind w:left="7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  <w:p w:rsidR="00FE157A" w:rsidRDefault="00FE157A" w:rsidP="00FE157A">
            <w:pPr>
              <w:shd w:val="clear" w:color="auto" w:fill="FFFFFF"/>
              <w:ind w:left="7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Variable Expenses (3)</w:t>
            </w:r>
          </w:p>
          <w:p w:rsidR="00C87093" w:rsidRPr="00FE157A" w:rsidRDefault="00C87093" w:rsidP="00FE157A">
            <w:pPr>
              <w:shd w:val="clear" w:color="auto" w:fill="FFFFFF"/>
              <w:ind w:left="72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  <w:p w:rsidR="00C87093" w:rsidRPr="00FE157A" w:rsidRDefault="00FE157A" w:rsidP="00B47672">
            <w:pPr>
              <w:pStyle w:val="NoSpacing"/>
              <w:ind w:left="720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Periodic Expense</w:t>
            </w:r>
          </w:p>
        </w:tc>
        <w:tc>
          <w:tcPr>
            <w:tcW w:w="5393" w:type="dxa"/>
          </w:tcPr>
          <w:p w:rsid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C87093" w:rsidRDefault="00C87093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C87093" w:rsidRDefault="00C87093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C87093" w:rsidRDefault="00C87093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C87093" w:rsidRDefault="00C87093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C87093" w:rsidRDefault="00C87093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C87093" w:rsidRPr="00FE157A" w:rsidRDefault="00C87093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588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Variance (Budget Variance)</w:t>
            </w:r>
            <w:r w:rsidR="002A2C4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(3) (p. 77)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588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Pay Yourself First (PYF) (3) (p. 82)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612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Gross Pay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or Gross Income</w:t>
            </w: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(3 &amp; 21.1) (p. 71</w:t>
            </w:r>
            <w:r w:rsidR="002A2C4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588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Pay Stub (Paycheck Stub)</w:t>
            </w:r>
            <w:r w:rsidR="002A2C4B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p. 674 has an image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612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Net Income or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</w:t>
            </w: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ake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</w:t>
            </w: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ome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</w:t>
            </w:r>
            <w:r w:rsidRPr="00FE157A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ay (3)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588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Discretionary Income (3 &amp; 21.1)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588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Disposable Income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612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Salary (21.1)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588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lastRenderedPageBreak/>
              <w:t>Hourly Wage (21.1)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612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Overtime Rate (21.1)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741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Commission(21.1)</w:t>
            </w:r>
          </w:p>
          <w:p w:rsidR="00FE157A" w:rsidRPr="00FE157A" w:rsidRDefault="00FE157A" w:rsidP="00FE157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972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Deductions (voluntary and involuntary) (21.1)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588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Federal Income Tax(21.1)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612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Federal Insurance Contributions Act (FICA) (21.1)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588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Social Security Tax (21.1)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612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Medicare Tax (21.1)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57A" w:rsidTr="00B47672">
        <w:trPr>
          <w:trHeight w:val="588"/>
          <w:jc w:val="center"/>
        </w:trPr>
        <w:tc>
          <w:tcPr>
            <w:tcW w:w="4002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FE157A">
              <w:rPr>
                <w:rFonts w:asciiTheme="minorHAnsi" w:hAnsiTheme="minorHAnsi"/>
                <w:sz w:val="20"/>
                <w:szCs w:val="20"/>
              </w:rPr>
              <w:t>State and Local Income Taxes (21.1)</w:t>
            </w:r>
          </w:p>
        </w:tc>
        <w:tc>
          <w:tcPr>
            <w:tcW w:w="5393" w:type="dxa"/>
          </w:tcPr>
          <w:p w:rsidR="00FE157A" w:rsidRPr="00FE157A" w:rsidRDefault="00FE157A" w:rsidP="00FE157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47672" w:rsidRDefault="00B47672" w:rsidP="00C30188">
      <w:pPr>
        <w:spacing w:line="276" w:lineRule="auto"/>
        <w:rPr>
          <w:rFonts w:asciiTheme="minorHAnsi" w:eastAsia="Times New Roman" w:hAnsiTheme="minorHAnsi" w:cs="Times New Roman"/>
          <w:b/>
          <w:sz w:val="20"/>
        </w:rPr>
      </w:pPr>
    </w:p>
    <w:p w:rsidR="00B47672" w:rsidRDefault="00B47672" w:rsidP="00C30188">
      <w:pPr>
        <w:spacing w:line="276" w:lineRule="auto"/>
        <w:rPr>
          <w:rFonts w:asciiTheme="minorHAnsi" w:eastAsia="Times New Roman" w:hAnsiTheme="minorHAnsi" w:cs="Times New Roman"/>
          <w:b/>
          <w:sz w:val="20"/>
        </w:rPr>
      </w:pPr>
    </w:p>
    <w:p w:rsidR="00C30188" w:rsidRPr="00D6223A" w:rsidRDefault="00C30188" w:rsidP="00C30188">
      <w:pPr>
        <w:spacing w:line="276" w:lineRule="auto"/>
        <w:rPr>
          <w:rFonts w:asciiTheme="minorHAnsi" w:eastAsia="Times New Roman" w:hAnsiTheme="minorHAnsi" w:cs="Times New Roman"/>
          <w:sz w:val="20"/>
        </w:rPr>
      </w:pPr>
      <w:r w:rsidRPr="00D6223A">
        <w:rPr>
          <w:rFonts w:asciiTheme="minorHAnsi" w:eastAsia="Times New Roman" w:hAnsiTheme="minorHAnsi" w:cs="Times New Roman"/>
          <w:b/>
          <w:sz w:val="20"/>
        </w:rPr>
        <w:t>Pre-Assessment &amp; Post-Assessment</w:t>
      </w:r>
      <w:r w:rsidRPr="00D6223A">
        <w:rPr>
          <w:rFonts w:asciiTheme="minorHAnsi" w:eastAsia="Times New Roman" w:hAnsiTheme="minorHAnsi" w:cs="Times New Roman"/>
          <w:sz w:val="20"/>
        </w:rPr>
        <w:t xml:space="preserve">:  </w:t>
      </w:r>
    </w:p>
    <w:tbl>
      <w:tblPr>
        <w:tblStyle w:val="TableGrid"/>
        <w:tblW w:w="9233" w:type="dxa"/>
        <w:jc w:val="center"/>
        <w:tblLook w:val="04A0" w:firstRow="1" w:lastRow="0" w:firstColumn="1" w:lastColumn="0" w:noHBand="0" w:noVBand="1"/>
      </w:tblPr>
      <w:tblGrid>
        <w:gridCol w:w="1637"/>
        <w:gridCol w:w="5875"/>
        <w:gridCol w:w="1721"/>
      </w:tblGrid>
      <w:tr w:rsidR="00C30188" w:rsidRPr="00D6223A" w:rsidTr="00D6223A">
        <w:trPr>
          <w:trHeight w:val="156"/>
          <w:jc w:val="center"/>
        </w:trPr>
        <w:tc>
          <w:tcPr>
            <w:tcW w:w="1637" w:type="dxa"/>
            <w:vAlign w:val="center"/>
          </w:tcPr>
          <w:p w:rsidR="00C30188" w:rsidRPr="00D6223A" w:rsidRDefault="00C30188" w:rsidP="00B26381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D6223A">
              <w:rPr>
                <w:rFonts w:asciiTheme="minorHAnsi" w:eastAsia="Times New Roman" w:hAnsiTheme="minorHAnsi" w:cs="Times New Roman"/>
                <w:b/>
                <w:sz w:val="20"/>
              </w:rPr>
              <w:t>Pre-Assessment</w:t>
            </w:r>
          </w:p>
        </w:tc>
        <w:tc>
          <w:tcPr>
            <w:tcW w:w="5875" w:type="dxa"/>
            <w:vAlign w:val="center"/>
          </w:tcPr>
          <w:p w:rsidR="00C30188" w:rsidRPr="00D6223A" w:rsidRDefault="00C30188" w:rsidP="00B26381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D6223A">
              <w:rPr>
                <w:rFonts w:asciiTheme="minorHAnsi" w:eastAsia="Times New Roman" w:hAnsiTheme="minorHAnsi" w:cs="Times New Roman"/>
                <w:b/>
                <w:sz w:val="20"/>
              </w:rPr>
              <w:t>I Can</w:t>
            </w:r>
          </w:p>
        </w:tc>
        <w:tc>
          <w:tcPr>
            <w:tcW w:w="1721" w:type="dxa"/>
            <w:vAlign w:val="center"/>
          </w:tcPr>
          <w:p w:rsidR="00C30188" w:rsidRPr="00D6223A" w:rsidRDefault="00C30188" w:rsidP="00B26381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D6223A">
              <w:rPr>
                <w:rFonts w:asciiTheme="minorHAnsi" w:eastAsia="Times New Roman" w:hAnsiTheme="minorHAnsi" w:cs="Times New Roman"/>
                <w:b/>
                <w:sz w:val="20"/>
              </w:rPr>
              <w:t>Post-Assessment</w:t>
            </w:r>
          </w:p>
        </w:tc>
      </w:tr>
      <w:tr w:rsidR="00C30188" w:rsidRPr="00D6223A" w:rsidTr="00D6223A">
        <w:trPr>
          <w:trHeight w:val="156"/>
          <w:jc w:val="center"/>
        </w:trPr>
        <w:tc>
          <w:tcPr>
            <w:tcW w:w="1637" w:type="dxa"/>
            <w:vAlign w:val="center"/>
          </w:tcPr>
          <w:p w:rsidR="00C30188" w:rsidRPr="00D6223A" w:rsidRDefault="00C30188" w:rsidP="00C30188">
            <w:pPr>
              <w:spacing w:before="100" w:beforeAutospacing="1"/>
              <w:rPr>
                <w:rFonts w:asciiTheme="minorHAnsi" w:eastAsia="Times New Roman" w:hAnsiTheme="minorHAnsi" w:cs="Times New Roman"/>
                <w:sz w:val="20"/>
              </w:rPr>
            </w:pPr>
            <w:bookmarkStart w:id="0" w:name="_GoBack" w:colFirst="1" w:colLast="1"/>
          </w:p>
        </w:tc>
        <w:tc>
          <w:tcPr>
            <w:tcW w:w="5875" w:type="dxa"/>
            <w:vAlign w:val="center"/>
          </w:tcPr>
          <w:p w:rsidR="00C30188" w:rsidRPr="00C16825" w:rsidRDefault="00C30188" w:rsidP="00C30188">
            <w:pPr>
              <w:spacing w:before="100" w:beforeAutospacing="1"/>
              <w:rPr>
                <w:rFonts w:asciiTheme="minorHAnsi" w:hAnsiTheme="minorHAnsi" w:cs="Times New Roman"/>
                <w:i/>
                <w:sz w:val="20"/>
              </w:rPr>
            </w:pPr>
            <w:r w:rsidRPr="00C16825">
              <w:rPr>
                <w:rFonts w:asciiTheme="minorHAnsi" w:hAnsiTheme="minorHAnsi" w:cs="Times New Roman"/>
                <w:i/>
                <w:sz w:val="20"/>
              </w:rPr>
              <w:t>I can recogni</w:t>
            </w:r>
            <w:r w:rsidR="00D6223A" w:rsidRPr="00C16825">
              <w:rPr>
                <w:rFonts w:asciiTheme="minorHAnsi" w:hAnsiTheme="minorHAnsi" w:cs="Times New Roman"/>
                <w:i/>
                <w:sz w:val="20"/>
              </w:rPr>
              <w:t>ze different sources of income and calculate net income.</w:t>
            </w:r>
          </w:p>
        </w:tc>
        <w:tc>
          <w:tcPr>
            <w:tcW w:w="1721" w:type="dxa"/>
            <w:vAlign w:val="center"/>
          </w:tcPr>
          <w:p w:rsidR="00C30188" w:rsidRPr="00D6223A" w:rsidRDefault="00C30188" w:rsidP="00C30188">
            <w:pPr>
              <w:spacing w:before="100" w:beforeAutospacing="1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D6223A" w:rsidRPr="00D6223A" w:rsidTr="00D6223A">
        <w:trPr>
          <w:trHeight w:val="156"/>
          <w:jc w:val="center"/>
        </w:trPr>
        <w:tc>
          <w:tcPr>
            <w:tcW w:w="1637" w:type="dxa"/>
            <w:vAlign w:val="center"/>
          </w:tcPr>
          <w:p w:rsidR="00D6223A" w:rsidRPr="00D6223A" w:rsidRDefault="00D6223A" w:rsidP="00C30188">
            <w:pPr>
              <w:spacing w:before="100" w:beforeAutospacing="1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5875" w:type="dxa"/>
            <w:vAlign w:val="center"/>
          </w:tcPr>
          <w:p w:rsidR="00D6223A" w:rsidRPr="00C16825" w:rsidRDefault="00D6223A" w:rsidP="00C30188">
            <w:pPr>
              <w:spacing w:before="100" w:beforeAutospacing="1"/>
              <w:rPr>
                <w:rFonts w:asciiTheme="minorHAnsi" w:hAnsiTheme="minorHAnsi" w:cs="Times New Roman"/>
                <w:i/>
                <w:sz w:val="20"/>
              </w:rPr>
            </w:pPr>
            <w:r w:rsidRPr="00C16825">
              <w:rPr>
                <w:rFonts w:asciiTheme="minorHAnsi" w:hAnsiTheme="minorHAnsi" w:cs="Times New Roman"/>
                <w:i/>
                <w:sz w:val="20"/>
              </w:rPr>
              <w:t>I can identify and categorize different types of expenses.</w:t>
            </w:r>
          </w:p>
        </w:tc>
        <w:tc>
          <w:tcPr>
            <w:tcW w:w="1721" w:type="dxa"/>
            <w:vAlign w:val="center"/>
          </w:tcPr>
          <w:p w:rsidR="00D6223A" w:rsidRPr="00D6223A" w:rsidRDefault="00D6223A" w:rsidP="00C30188">
            <w:pPr>
              <w:spacing w:before="100" w:beforeAutospacing="1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D6223A" w:rsidRPr="00D6223A" w:rsidTr="00D6223A">
        <w:trPr>
          <w:trHeight w:val="156"/>
          <w:jc w:val="center"/>
        </w:trPr>
        <w:tc>
          <w:tcPr>
            <w:tcW w:w="1637" w:type="dxa"/>
            <w:vAlign w:val="center"/>
          </w:tcPr>
          <w:p w:rsidR="00D6223A" w:rsidRPr="00D6223A" w:rsidRDefault="00D6223A" w:rsidP="00C30188">
            <w:pPr>
              <w:spacing w:before="100" w:beforeAutospacing="1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5875" w:type="dxa"/>
            <w:vAlign w:val="center"/>
          </w:tcPr>
          <w:p w:rsidR="00D6223A" w:rsidRPr="00C16825" w:rsidRDefault="00D6223A" w:rsidP="00C30188">
            <w:pPr>
              <w:spacing w:before="100" w:beforeAutospacing="1"/>
              <w:rPr>
                <w:rFonts w:asciiTheme="minorHAnsi" w:hAnsiTheme="minorHAnsi" w:cs="Times New Roman"/>
                <w:i/>
                <w:sz w:val="20"/>
              </w:rPr>
            </w:pPr>
            <w:r w:rsidRPr="00C16825">
              <w:rPr>
                <w:rFonts w:asciiTheme="minorHAnsi" w:hAnsiTheme="minorHAnsi" w:cs="Times New Roman"/>
                <w:i/>
                <w:sz w:val="20"/>
              </w:rPr>
              <w:t>I can evaluate and revise a budget based on changing life situations.</w:t>
            </w:r>
          </w:p>
        </w:tc>
        <w:tc>
          <w:tcPr>
            <w:tcW w:w="1721" w:type="dxa"/>
            <w:vAlign w:val="center"/>
          </w:tcPr>
          <w:p w:rsidR="00D6223A" w:rsidRPr="00D6223A" w:rsidRDefault="00D6223A" w:rsidP="00C30188">
            <w:pPr>
              <w:spacing w:before="100" w:beforeAutospacing="1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bookmarkEnd w:id="0"/>
    </w:tbl>
    <w:p w:rsidR="000325EC" w:rsidRDefault="000325EC" w:rsidP="00984BBE">
      <w:pPr>
        <w:spacing w:line="276" w:lineRule="auto"/>
      </w:pPr>
    </w:p>
    <w:sectPr w:rsidR="000325EC" w:rsidSect="00B21043">
      <w:headerReference w:type="default" r:id="rId7"/>
      <w:pgSz w:w="12240" w:h="15840"/>
      <w:pgMar w:top="720" w:right="720" w:bottom="720" w:left="720" w:header="720" w:footer="1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93" w:rsidRDefault="00C87093" w:rsidP="00C87093">
      <w:pPr>
        <w:spacing w:after="0"/>
      </w:pPr>
      <w:r>
        <w:separator/>
      </w:r>
    </w:p>
  </w:endnote>
  <w:endnote w:type="continuationSeparator" w:id="0">
    <w:p w:rsidR="00C87093" w:rsidRDefault="00C87093" w:rsidP="00C870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93" w:rsidRDefault="00C87093" w:rsidP="00C87093">
      <w:pPr>
        <w:spacing w:after="0"/>
      </w:pPr>
      <w:r>
        <w:separator/>
      </w:r>
    </w:p>
  </w:footnote>
  <w:footnote w:type="continuationSeparator" w:id="0">
    <w:p w:rsidR="00C87093" w:rsidRDefault="00C87093" w:rsidP="00C870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093" w:rsidRPr="00C87093" w:rsidRDefault="00C87093">
    <w:pPr>
      <w:pStyle w:val="Header"/>
      <w:rPr>
        <w:i/>
        <w:color w:val="D9D9D9" w:themeColor="background1" w:themeShade="D9"/>
        <w:sz w:val="14"/>
      </w:rPr>
    </w:pPr>
    <w:r w:rsidRPr="00C87093">
      <w:rPr>
        <w:i/>
        <w:color w:val="D9D9D9" w:themeColor="background1" w:themeShade="D9"/>
        <w:sz w:val="14"/>
      </w:rPr>
      <w:t>Updated August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58D"/>
    <w:multiLevelType w:val="hybridMultilevel"/>
    <w:tmpl w:val="CFC2E0E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74F31"/>
    <w:multiLevelType w:val="hybridMultilevel"/>
    <w:tmpl w:val="838AD7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CE4E30"/>
    <w:multiLevelType w:val="multilevel"/>
    <w:tmpl w:val="9D9E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A4E21"/>
    <w:multiLevelType w:val="hybridMultilevel"/>
    <w:tmpl w:val="F904B81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7F471344"/>
    <w:multiLevelType w:val="hybridMultilevel"/>
    <w:tmpl w:val="BD0AA99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34"/>
    <w:rsid w:val="000325EC"/>
    <w:rsid w:val="000F50C1"/>
    <w:rsid w:val="001362F5"/>
    <w:rsid w:val="002A2C4B"/>
    <w:rsid w:val="004B472F"/>
    <w:rsid w:val="00804E1D"/>
    <w:rsid w:val="00984BBE"/>
    <w:rsid w:val="00A04434"/>
    <w:rsid w:val="00B21043"/>
    <w:rsid w:val="00B47672"/>
    <w:rsid w:val="00B6484C"/>
    <w:rsid w:val="00C16825"/>
    <w:rsid w:val="00C200BC"/>
    <w:rsid w:val="00C30188"/>
    <w:rsid w:val="00C87093"/>
    <w:rsid w:val="00D6223A"/>
    <w:rsid w:val="00DB5F6E"/>
    <w:rsid w:val="00E82496"/>
    <w:rsid w:val="00ED0A58"/>
    <w:rsid w:val="00FE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6F548-8275-42D4-9F18-A73D91C7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434"/>
    <w:pPr>
      <w:spacing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434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A0443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044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4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50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870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709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70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709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82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097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0327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</dc:creator>
  <cp:lastModifiedBy>Carla Hertlein</cp:lastModifiedBy>
  <cp:revision>8</cp:revision>
  <cp:lastPrinted>2012-10-05T16:28:00Z</cp:lastPrinted>
  <dcterms:created xsi:type="dcterms:W3CDTF">2013-01-02T20:36:00Z</dcterms:created>
  <dcterms:modified xsi:type="dcterms:W3CDTF">2015-08-17T20:25:00Z</dcterms:modified>
</cp:coreProperties>
</file>